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41" w:rsidRDefault="00DD13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Все равны перед законом!</w:t>
      </w:r>
    </w:p>
    <w:p w:rsidR="008F5F41" w:rsidRDefault="008F5F41">
      <w:pPr>
        <w:jc w:val="center"/>
        <w:rPr>
          <w:sz w:val="32"/>
          <w:szCs w:val="32"/>
        </w:rPr>
      </w:pPr>
      <w:bookmarkStart w:id="0" w:name="_GoBack"/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обеспечения воинского учета граждане обязаны:</w:t>
      </w:r>
    </w:p>
    <w:p w:rsidR="008F5F41" w:rsidRDefault="008F5F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состоять на воинском учете по месту жительства (граждане, прибывшие на место пребывания на срок более трех месяцев, - по месту их пребывания) в военном комиссариате, а граждане, имеющие воинские звания офицеров и пребывающие в запасе Службы внешней разведк</w:t>
      </w:r>
      <w:r>
        <w:rPr>
          <w:color w:val="000000"/>
          <w:sz w:val="24"/>
          <w:szCs w:val="24"/>
        </w:rPr>
        <w:t>и Российской Федерации и в запасе Федеральной службы безопасности Российской Федерации, - в указанных органах;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явиться в указанные в повестке военного комиссариата время и место либо по вызову соответствующего органа местного самоуправления поселения или с</w:t>
      </w:r>
      <w:r>
        <w:rPr>
          <w:color w:val="000000"/>
          <w:sz w:val="24"/>
          <w:szCs w:val="24"/>
        </w:rPr>
        <w:t>оответствующего органа местного самоуправления городского округа, осуществляющего первичный воинский учет;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исключении их из списков личного состава воинской части в связи с увольнением с военной службы в запас Вооруженных Сил Российской Федерации, увол</w:t>
      </w:r>
      <w:r>
        <w:rPr>
          <w:color w:val="000000"/>
          <w:sz w:val="24"/>
          <w:szCs w:val="24"/>
        </w:rPr>
        <w:t>ьнении с альтернативной гражданской службы, освобождении от отбывания наказания в виде лишения свободы, получении гражданином женского пола военно-учетной специальности, приобретении гражданства Российской Федерации (для граждан, подлежащих постановке на в</w:t>
      </w:r>
      <w:r>
        <w:rPr>
          <w:color w:val="000000"/>
          <w:sz w:val="24"/>
          <w:szCs w:val="24"/>
        </w:rPr>
        <w:t>оинский учет) явиться в двухнедельный срок со дня наступления указанных событий в военный комиссариат для постановки на воинский учет;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сообщить в двухнедельный срок в военный комиссариат либо в соответствующий орган местного самоуправления поселения или со</w:t>
      </w:r>
      <w:r>
        <w:rPr>
          <w:color w:val="000000"/>
          <w:sz w:val="24"/>
          <w:szCs w:val="24"/>
        </w:rPr>
        <w:t>ответствующий орган местного самоуправления городского округа, осуществляющий первичный воинский учет, об изменении семейного положения, образования, места работы или должности, о переезде на новое место жительства, расположенное в пределах территории муни</w:t>
      </w:r>
      <w:r>
        <w:rPr>
          <w:color w:val="000000"/>
          <w:sz w:val="24"/>
          <w:szCs w:val="24"/>
        </w:rPr>
        <w:t>ципального образования, или место пребывания;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</w:t>
      </w:r>
      <w:r>
        <w:rPr>
          <w:color w:val="000000"/>
          <w:sz w:val="24"/>
          <w:szCs w:val="24"/>
        </w:rPr>
        <w:t>е за пределами территории муниципального образования, место пребывания на срок более трех месяцев либо выезде из Российской Федерации на срок более шести месяцев или въезде в Российскую Федерацию;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бережно хранить военный билет (временное удостоверение, выд</w:t>
      </w:r>
      <w:r>
        <w:rPr>
          <w:color w:val="000000"/>
          <w:sz w:val="24"/>
          <w:szCs w:val="24"/>
        </w:rPr>
        <w:t>анное взамен военного билета), а также удостоверение гражданина, подлежащего призыву на военную службу. В случае утраты указанных документов в двухнедельный срок обратиться в военный комиссариат либо в соответствующий орган местного самоуправления поселени</w:t>
      </w:r>
      <w:r>
        <w:rPr>
          <w:color w:val="000000"/>
          <w:sz w:val="24"/>
          <w:szCs w:val="24"/>
        </w:rPr>
        <w:t>я или соответствующий орган местного самоуправления городского округа, осуществляющий первичный воинский учет, для решения вопроса о получении документов взамен утраченных.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Граждане, подлежащие призыву на военную службу, выезжающие в период проведения п</w:t>
      </w:r>
      <w:r>
        <w:rPr>
          <w:color w:val="000000"/>
          <w:sz w:val="24"/>
          <w:szCs w:val="24"/>
        </w:rPr>
        <w:t>ризыва на срок более трех месяцев с места жительства или места пребывания, должны лично сообщить об этом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</w:t>
      </w:r>
      <w:r>
        <w:rPr>
          <w:color w:val="000000"/>
          <w:sz w:val="24"/>
          <w:szCs w:val="24"/>
        </w:rPr>
        <w:t>а, осуществляющий первичный воинский учет.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Граждане исполняют и иные обязанности, установленные Положением о воинском учете.</w:t>
      </w:r>
    </w:p>
    <w:p w:rsidR="008F5F41" w:rsidRDefault="008F5F41">
      <w:pPr>
        <w:rPr>
          <w:sz w:val="32"/>
          <w:szCs w:val="32"/>
        </w:rPr>
      </w:pP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Призыву на военную службу подлежат: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>граждане мужского пола в возрасте от 18 до 30 лет, состоящие на воинском учете или не состоящие, но обязанные состоять на воинском учете и не пребывающие в запасе (далее - граждане, не пребывающие в запасе);</w:t>
      </w:r>
    </w:p>
    <w:p w:rsidR="008F5F41" w:rsidRDefault="008F5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8F5F41" w:rsidRDefault="008F5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8F5F41" w:rsidRDefault="008F5F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Призыв на военную службу граждан, не пребываю</w:t>
      </w:r>
      <w:r>
        <w:rPr>
          <w:color w:val="000000"/>
          <w:sz w:val="24"/>
          <w:szCs w:val="24"/>
        </w:rPr>
        <w:t>щих в запасе, включает: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явку на медицинское освидетельствование и заседание призывной комиссии;</w:t>
      </w: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</w:t>
      </w:r>
      <w:r>
        <w:rPr>
          <w:color w:val="000000"/>
          <w:sz w:val="24"/>
          <w:szCs w:val="24"/>
        </w:rPr>
        <w:t>енной службы.</w:t>
      </w:r>
    </w:p>
    <w:p w:rsidR="008F5F41" w:rsidRDefault="008F5F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неявки граждан в указанные в повестке военного комиссариата или иного органа, осуществляющего воинский учет, место и срок без уважительных причин, а также в иных случаях, установленных настоящим Федеральным законом, они привлекаются к ответственно</w:t>
      </w:r>
      <w:r>
        <w:rPr>
          <w:color w:val="000000"/>
          <w:sz w:val="24"/>
          <w:szCs w:val="24"/>
        </w:rPr>
        <w:t>сти в соответствии с законодательством Российской Федерации.</w:t>
      </w:r>
    </w:p>
    <w:p w:rsidR="008F5F41" w:rsidRDefault="008F5F4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</w:t>
      </w:r>
      <w:r>
        <w:rPr>
          <w:color w:val="000000"/>
          <w:sz w:val="24"/>
          <w:szCs w:val="24"/>
        </w:rPr>
        <w:t>оссийской Федерации по месту жительства указанных граждан для решения вопроса о привлечении их к ответственности в соответствии с законодательством Российской Федерации.</w:t>
      </w:r>
    </w:p>
    <w:p w:rsidR="008F5F41" w:rsidRDefault="008F5F4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8F5F41" w:rsidRDefault="00DD13CB">
      <w:pPr>
        <w:jc w:val="center"/>
        <w:rPr>
          <w:sz w:val="24"/>
          <w:szCs w:val="24"/>
        </w:rPr>
      </w:pPr>
      <w:r>
        <w:rPr>
          <w:sz w:val="24"/>
          <w:szCs w:val="24"/>
        </w:rPr>
        <w:t>Военный комиссар Красногвардейского района г. Санкт-Петербурга</w:t>
      </w:r>
    </w:p>
    <w:p w:rsidR="008F5F41" w:rsidRDefault="008F5F41">
      <w:pPr>
        <w:jc w:val="center"/>
        <w:rPr>
          <w:sz w:val="24"/>
          <w:szCs w:val="24"/>
        </w:rPr>
      </w:pPr>
    </w:p>
    <w:p w:rsidR="008F5F41" w:rsidRDefault="00DD13C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А.А.Калюжнов</w:t>
      </w:r>
      <w:proofErr w:type="spellEnd"/>
    </w:p>
    <w:bookmarkEnd w:id="0"/>
    <w:p w:rsidR="008F5F41" w:rsidRDefault="008F5F41">
      <w:pPr>
        <w:rPr>
          <w:sz w:val="28"/>
          <w:szCs w:val="28"/>
        </w:rPr>
      </w:pPr>
    </w:p>
    <w:p w:rsidR="008F5F41" w:rsidRDefault="00DD13C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110491</wp:posOffset>
            </wp:positionH>
            <wp:positionV relativeFrom="paragraph">
              <wp:posOffset>117475</wp:posOffset>
            </wp:positionV>
            <wp:extent cx="5591175" cy="419290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192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5F41">
      <w:pgSz w:w="11906" w:h="16838"/>
      <w:pgMar w:top="1134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41"/>
    <w:rsid w:val="008F5F41"/>
    <w:rsid w:val="00D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921B1-2A7E-45E2-925C-0E160DCB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Л. Бикучева</dc:creator>
  <cp:lastModifiedBy>О. Л. Бикучева</cp:lastModifiedBy>
  <cp:revision>2</cp:revision>
  <dcterms:created xsi:type="dcterms:W3CDTF">2024-05-14T12:35:00Z</dcterms:created>
  <dcterms:modified xsi:type="dcterms:W3CDTF">2024-05-14T12:35:00Z</dcterms:modified>
</cp:coreProperties>
</file>